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5530" w14:textId="77777777" w:rsidR="00AA7D01" w:rsidRDefault="00000000">
      <w:pPr>
        <w:spacing w:after="40"/>
        <w:rPr>
          <w:lang w:val="ru-RU"/>
        </w:rPr>
      </w:pPr>
      <w:r>
        <w:rPr>
          <w:b/>
          <w:color w:val="1F3864"/>
          <w:sz w:val="30"/>
          <w:lang w:val="ru-RU"/>
        </w:rPr>
        <w:t>ПОЛИТИКА ОБРАБОТКИ ПЕРСОНАЛЬНЫХ ДАННЫХ</w:t>
      </w:r>
    </w:p>
    <w:p w14:paraId="6C57CC94" w14:textId="77777777" w:rsidR="00AA7D01" w:rsidRDefault="00000000">
      <w:pPr>
        <w:spacing w:after="40"/>
        <w:rPr>
          <w:lang w:val="ru-RU"/>
        </w:rPr>
      </w:pPr>
      <w:r>
        <w:rPr>
          <w:b/>
          <w:sz w:val="22"/>
          <w:lang w:val="ru-RU"/>
        </w:rPr>
        <w:t>ООО «</w:t>
      </w:r>
      <w:proofErr w:type="spellStart"/>
      <w:r>
        <w:rPr>
          <w:b/>
          <w:sz w:val="22"/>
          <w:lang w:val="ru-RU"/>
        </w:rPr>
        <w:t>Лоджистик</w:t>
      </w:r>
      <w:proofErr w:type="spellEnd"/>
      <w:r>
        <w:rPr>
          <w:b/>
          <w:sz w:val="22"/>
          <w:lang w:val="ru-RU"/>
        </w:rPr>
        <w:t xml:space="preserve"> Форс ДВ»</w:t>
      </w:r>
    </w:p>
    <w:p w14:paraId="7F50482B" w14:textId="30C7524F" w:rsidR="00AA7D01" w:rsidRDefault="00000000">
      <w:pPr>
        <w:spacing w:after="160"/>
        <w:rPr>
          <w:lang w:val="ru-RU"/>
        </w:rPr>
      </w:pPr>
      <w:r>
        <w:rPr>
          <w:color w:val="595959"/>
          <w:sz w:val="19"/>
          <w:lang w:val="ru-RU"/>
        </w:rPr>
        <w:t>Редакция от «</w:t>
      </w:r>
      <w:r w:rsidR="00997D09">
        <w:rPr>
          <w:color w:val="595959"/>
          <w:sz w:val="19"/>
          <w:lang w:val="ru-RU"/>
        </w:rPr>
        <w:t>13</w:t>
      </w:r>
      <w:r>
        <w:rPr>
          <w:color w:val="595959"/>
          <w:sz w:val="19"/>
          <w:lang w:val="ru-RU"/>
        </w:rPr>
        <w:t xml:space="preserve">» </w:t>
      </w:r>
      <w:r w:rsidR="00997D09">
        <w:rPr>
          <w:color w:val="595959"/>
          <w:sz w:val="19"/>
          <w:lang w:val="ru-RU"/>
        </w:rPr>
        <w:t>августа</w:t>
      </w:r>
      <w:r>
        <w:rPr>
          <w:color w:val="595959"/>
          <w:sz w:val="19"/>
          <w:lang w:val="ru-RU"/>
        </w:rPr>
        <w:t xml:space="preserve"> 2026 г.  </w:t>
      </w:r>
      <w:proofErr w:type="gramStart"/>
      <w:r>
        <w:rPr>
          <w:color w:val="595959"/>
          <w:sz w:val="19"/>
          <w:lang w:val="ru-RU"/>
        </w:rPr>
        <w:t>|  Публикуется</w:t>
      </w:r>
      <w:proofErr w:type="gramEnd"/>
      <w:r>
        <w:rPr>
          <w:color w:val="595959"/>
          <w:sz w:val="19"/>
          <w:lang w:val="ru-RU"/>
        </w:rPr>
        <w:t xml:space="preserve"> на сайте </w:t>
      </w:r>
      <w:r>
        <w:rPr>
          <w:color w:val="595959"/>
          <w:sz w:val="19"/>
        </w:rPr>
        <w:t>logistic</w:t>
      </w:r>
      <w:r>
        <w:rPr>
          <w:color w:val="595959"/>
          <w:sz w:val="19"/>
          <w:lang w:val="ru-RU"/>
        </w:rPr>
        <w:t>-</w:t>
      </w:r>
      <w:r>
        <w:rPr>
          <w:color w:val="595959"/>
          <w:sz w:val="19"/>
        </w:rPr>
        <w:t>force</w:t>
      </w:r>
      <w:r>
        <w:rPr>
          <w:color w:val="595959"/>
          <w:sz w:val="19"/>
          <w:lang w:val="ru-RU"/>
        </w:rPr>
        <w:t>.</w:t>
      </w:r>
      <w:proofErr w:type="spellStart"/>
      <w:r>
        <w:rPr>
          <w:color w:val="595959"/>
          <w:sz w:val="19"/>
        </w:rPr>
        <w:t>ru</w:t>
      </w:r>
      <w:proofErr w:type="spellEnd"/>
      <w:r>
        <w:rPr>
          <w:color w:val="595959"/>
          <w:sz w:val="19"/>
          <w:lang w:val="ru-RU"/>
        </w:rPr>
        <w:t xml:space="preserve"> и его поддоменах</w:t>
      </w:r>
    </w:p>
    <w:p w14:paraId="45ED83F2" w14:textId="77777777" w:rsidR="00AA7D01" w:rsidRDefault="00000000">
      <w:pPr>
        <w:pBdr>
          <w:bottom w:val="single" w:sz="8" w:space="2" w:color="1F3864"/>
        </w:pBdr>
        <w:spacing w:before="240" w:after="120"/>
        <w:rPr>
          <w:lang w:val="ru-RU"/>
        </w:rPr>
      </w:pPr>
      <w:r>
        <w:rPr>
          <w:b/>
          <w:color w:val="1F3864"/>
          <w:sz w:val="25"/>
          <w:lang w:val="ru-RU"/>
        </w:rPr>
        <w:t>1. Общие положения</w:t>
      </w:r>
    </w:p>
    <w:p w14:paraId="43EBAB2A" w14:textId="77777777" w:rsidR="00AA7D01" w:rsidRDefault="00000000">
      <w:pPr>
        <w:spacing w:after="120"/>
        <w:rPr>
          <w:lang w:val="ru-RU"/>
        </w:rPr>
      </w:pPr>
      <w:r>
        <w:rPr>
          <w:lang w:val="ru-RU"/>
        </w:rPr>
        <w:t>1.1. Настоящая Политика обработки персональных данных (далее — Политика) составлена в соответствии с Федеральным законом от 27.07.2006 № 152-ФЗ «О персональных данных» и определяет порядок обработки персональных данных и меры по обеспечению их безопасности, предпринимаемые ООО «</w:t>
      </w:r>
      <w:proofErr w:type="spellStart"/>
      <w:r>
        <w:rPr>
          <w:lang w:val="ru-RU"/>
        </w:rPr>
        <w:t>Лоджистик</w:t>
      </w:r>
      <w:proofErr w:type="spellEnd"/>
      <w:r>
        <w:rPr>
          <w:lang w:val="ru-RU"/>
        </w:rPr>
        <w:t xml:space="preserve"> Форс ДВ» (далее — Оператор).</w:t>
      </w:r>
    </w:p>
    <w:p w14:paraId="43123257" w14:textId="2BE310EA" w:rsidR="00AA7D01" w:rsidRDefault="00000000" w:rsidP="00997D09">
      <w:pPr>
        <w:spacing w:after="120"/>
        <w:rPr>
          <w:lang w:val="ru-RU"/>
        </w:rPr>
      </w:pPr>
      <w:r>
        <w:rPr>
          <w:lang w:val="ru-RU"/>
        </w:rPr>
        <w:t>1.2. Оператор: Общество с ограниченной ответственностью «</w:t>
      </w:r>
      <w:proofErr w:type="spellStart"/>
      <w:r>
        <w:rPr>
          <w:lang w:val="ru-RU"/>
        </w:rPr>
        <w:t>Лоджистик</w:t>
      </w:r>
      <w:proofErr w:type="spellEnd"/>
      <w:r>
        <w:rPr>
          <w:lang w:val="ru-RU"/>
        </w:rPr>
        <w:t xml:space="preserve"> Форс ДВ», ИНН 2543121812, ОГРН 1182536003957. Юридический адрес: [</w:t>
      </w:r>
      <w:r w:rsidR="00997D09" w:rsidRPr="00997D09">
        <w:rPr>
          <w:lang w:val="ru-RU"/>
        </w:rPr>
        <w:t>690074, РОССИЯ, ПРИМОРСКИЙ</w:t>
      </w:r>
      <w:r w:rsidR="00997D09">
        <w:rPr>
          <w:lang w:val="ru-RU"/>
        </w:rPr>
        <w:t xml:space="preserve"> </w:t>
      </w:r>
      <w:r w:rsidR="00997D09" w:rsidRPr="00997D09">
        <w:rPr>
          <w:lang w:val="ru-RU"/>
        </w:rPr>
        <w:t>КРАЙ, ВЛАДИВОСТОКСКИЙ Г.О.,Г. ВЛАДИВОСТОК, УЛ. ВЫСЕЛКОВАЯ, ЗД.12А, ПОМЕЩ. 101</w:t>
      </w:r>
      <w:r>
        <w:rPr>
          <w:lang w:val="ru-RU"/>
        </w:rPr>
        <w:t xml:space="preserve">]. Адрес для обращений: </w:t>
      </w:r>
      <w:r w:rsidR="00997D09" w:rsidRPr="00997D09">
        <w:rPr>
          <w:lang w:val="ru-RU"/>
        </w:rPr>
        <w:t>690088, Приморский край, г. Владивосток, ул. Выселковая ул., 12Б</w:t>
      </w:r>
      <w:r>
        <w:rPr>
          <w:lang w:val="ru-RU"/>
        </w:rPr>
        <w:t xml:space="preserve">. </w:t>
      </w:r>
      <w:r>
        <w:t>E</w:t>
      </w:r>
      <w:r>
        <w:rPr>
          <w:lang w:val="ru-RU"/>
        </w:rPr>
        <w:t>-</w:t>
      </w:r>
      <w:r>
        <w:t>mail</w:t>
      </w:r>
      <w:r>
        <w:rPr>
          <w:lang w:val="ru-RU"/>
        </w:rPr>
        <w:t xml:space="preserve">: </w:t>
      </w:r>
      <w:r>
        <w:t>info</w:t>
      </w:r>
      <w:r>
        <w:rPr>
          <w:lang w:val="ru-RU"/>
        </w:rPr>
        <w:t>@</w:t>
      </w:r>
      <w:r>
        <w:t>logistic</w:t>
      </w:r>
      <w:r>
        <w:rPr>
          <w:lang w:val="ru-RU"/>
        </w:rPr>
        <w:t>-</w:t>
      </w:r>
      <w:r>
        <w:t>force</w:t>
      </w:r>
      <w:r>
        <w:rPr>
          <w:lang w:val="ru-RU"/>
        </w:rPr>
        <w:t>.</w:t>
      </w:r>
      <w:proofErr w:type="spellStart"/>
      <w:r>
        <w:t>ru</w:t>
      </w:r>
      <w:proofErr w:type="spellEnd"/>
      <w:r>
        <w:rPr>
          <w:lang w:val="ru-RU"/>
        </w:rPr>
        <w:t>. Телефон: [</w:t>
      </w:r>
      <w:r w:rsidR="00997D09" w:rsidRPr="00997D09">
        <w:rPr>
          <w:lang w:val="ru-RU"/>
        </w:rPr>
        <w:t>+7(964)450-99-35</w:t>
      </w:r>
      <w:r>
        <w:rPr>
          <w:lang w:val="ru-RU"/>
        </w:rPr>
        <w:t>].</w:t>
      </w:r>
    </w:p>
    <w:p w14:paraId="2C220368" w14:textId="77777777" w:rsidR="00AA7D01" w:rsidRDefault="00000000">
      <w:pPr>
        <w:spacing w:after="120"/>
        <w:rPr>
          <w:lang w:val="ru-RU"/>
        </w:rPr>
      </w:pPr>
      <w:r>
        <w:rPr>
          <w:lang w:val="ru-RU"/>
        </w:rPr>
        <w:t xml:space="preserve">1.3. Политика действует в отношении всей информации, которую Оператор может получить о посетителях сайта </w:t>
      </w:r>
      <w:r>
        <w:t>logistic</w:t>
      </w:r>
      <w:r>
        <w:rPr>
          <w:lang w:val="ru-RU"/>
        </w:rPr>
        <w:t>-</w:t>
      </w:r>
      <w:r>
        <w:t>force</w:t>
      </w:r>
      <w:r>
        <w:rPr>
          <w:lang w:val="ru-RU"/>
        </w:rPr>
        <w:t>.</w:t>
      </w:r>
      <w:proofErr w:type="spellStart"/>
      <w:r>
        <w:t>ru</w:t>
      </w:r>
      <w:proofErr w:type="spellEnd"/>
      <w:r>
        <w:rPr>
          <w:lang w:val="ru-RU"/>
        </w:rPr>
        <w:t xml:space="preserve"> и его поддоменов (далее — Сайт), в том числе лендинга для перевозчиков.</w:t>
      </w:r>
    </w:p>
    <w:p w14:paraId="2FE9716B" w14:textId="77777777" w:rsidR="00AA7D01" w:rsidRDefault="00000000">
      <w:pPr>
        <w:spacing w:after="120"/>
        <w:rPr>
          <w:lang w:val="ru-RU"/>
        </w:rPr>
      </w:pPr>
      <w:r>
        <w:rPr>
          <w:lang w:val="ru-RU"/>
        </w:rPr>
        <w:t>1.4. Использование Сайта означает согласие пользователя с настоящей Политикой. В случае несогласия пользователь должен воздержаться от использования Сайта.</w:t>
      </w:r>
    </w:p>
    <w:p w14:paraId="29B0D809" w14:textId="77777777" w:rsidR="00AA7D01" w:rsidRDefault="00000000">
      <w:pPr>
        <w:spacing w:after="120"/>
        <w:rPr>
          <w:lang w:val="ru-RU"/>
        </w:rPr>
      </w:pPr>
      <w:r>
        <w:rPr>
          <w:lang w:val="ru-RU"/>
        </w:rPr>
        <w:t>1.5. Оператор включён в реестр операторов, осуществляющих обработку персональных данных, на основании уведомления, направленного в уполномоченный орган по защите прав субъектов персональных данных (Роскомнадзор), в соответствии со ст. 22 Федерального закона от 27.07.2006 № 152-ФЗ.</w:t>
      </w:r>
    </w:p>
    <w:p w14:paraId="005C93A9" w14:textId="77777777" w:rsidR="00AA7D01" w:rsidRDefault="00000000">
      <w:pPr>
        <w:spacing w:after="120"/>
        <w:rPr>
          <w:lang w:val="ru-RU"/>
        </w:rPr>
      </w:pPr>
      <w:r>
        <w:rPr>
          <w:lang w:val="ru-RU"/>
        </w:rPr>
        <w:t>1.6. Оператор не осуществляет целенаправленный сбор и обработку персональных данных несовершеннолетних лиц (лиц, не достигших 18 лет). В случае обнаружения таких данных в системах Оператора они подлежат незамедлительному удалению.</w:t>
      </w:r>
    </w:p>
    <w:p w14:paraId="7A996B52" w14:textId="77777777" w:rsidR="00AA7D01" w:rsidRDefault="00000000">
      <w:pPr>
        <w:pBdr>
          <w:bottom w:val="single" w:sz="8" w:space="2" w:color="1F3864"/>
        </w:pBdr>
        <w:spacing w:before="240" w:after="120"/>
        <w:rPr>
          <w:lang w:val="ru-RU"/>
        </w:rPr>
      </w:pPr>
      <w:r>
        <w:rPr>
          <w:b/>
          <w:color w:val="1F3864"/>
          <w:sz w:val="25"/>
          <w:lang w:val="ru-RU"/>
        </w:rPr>
        <w:t>2. Цели обработки персональных данных</w:t>
      </w:r>
    </w:p>
    <w:p w14:paraId="6AB71A14" w14:textId="77777777" w:rsidR="00AA7D01" w:rsidRDefault="00000000">
      <w:pPr>
        <w:spacing w:after="120"/>
        <w:rPr>
          <w:lang w:val="ru-RU"/>
        </w:rPr>
      </w:pPr>
      <w:r>
        <w:rPr>
          <w:lang w:val="ru-RU"/>
        </w:rPr>
        <w:t>2.1. Персональные данные обрабатываются в целях: (а) рассмотрения заявок перевозчиков на вступление в транспортный пул и заключения договоров; (б) рассмотрения заявок грузовладельцев на расчёт стоимости и организацию перевозки; (в) связи с пользователем: ответы на запросы, направление информации об условиях сотрудничества и списка документов; (г) исполнения заключённых договоров; (д) улучшения работы Сайта и анализа его посещаемости.</w:t>
      </w:r>
    </w:p>
    <w:p w14:paraId="0D707212" w14:textId="77777777" w:rsidR="00AA7D01" w:rsidRDefault="00000000">
      <w:pPr>
        <w:pBdr>
          <w:bottom w:val="single" w:sz="8" w:space="2" w:color="1F3864"/>
        </w:pBdr>
        <w:spacing w:before="240" w:after="120"/>
        <w:rPr>
          <w:lang w:val="ru-RU"/>
        </w:rPr>
      </w:pPr>
      <w:r>
        <w:rPr>
          <w:b/>
          <w:color w:val="1F3864"/>
          <w:sz w:val="25"/>
          <w:lang w:val="ru-RU"/>
        </w:rPr>
        <w:t>3. Перечень обрабатываемых данных</w:t>
      </w:r>
    </w:p>
    <w:p w14:paraId="2DD4D93B" w14:textId="77777777" w:rsidR="00AA7D01" w:rsidRDefault="00000000">
      <w:pPr>
        <w:spacing w:after="120"/>
        <w:rPr>
          <w:lang w:val="ru-RU"/>
        </w:rPr>
      </w:pPr>
      <w:r>
        <w:rPr>
          <w:lang w:val="ru-RU"/>
        </w:rPr>
        <w:t>3.1. Данные, предоставляемые пользователем в формах Сайта: фамилия, имя, отчество / наименование ИП или ООО; номер телефона; адрес электронной почты; город базирования; сведения о транспорте (тип, количество единиц); иные сведения, добровольно указанные пользователем в обращении.</w:t>
      </w:r>
    </w:p>
    <w:p w14:paraId="599E8B37" w14:textId="77777777" w:rsidR="00AA7D01" w:rsidRDefault="00000000">
      <w:pPr>
        <w:spacing w:after="120"/>
        <w:rPr>
          <w:lang w:val="ru-RU"/>
        </w:rPr>
      </w:pPr>
      <w:r>
        <w:rPr>
          <w:lang w:val="ru-RU"/>
        </w:rPr>
        <w:t xml:space="preserve">3.2. Данные, собираемые автоматически: файлы </w:t>
      </w:r>
      <w:r>
        <w:t>cookie</w:t>
      </w:r>
      <w:r>
        <w:rPr>
          <w:lang w:val="ru-RU"/>
        </w:rPr>
        <w:t xml:space="preserve">; </w:t>
      </w:r>
      <w:r>
        <w:t>IP</w:t>
      </w:r>
      <w:r>
        <w:rPr>
          <w:lang w:val="ru-RU"/>
        </w:rPr>
        <w:t>-адрес; сведения о браузере и устройстве; сведения о посещённых страницах и действиях на Сайте; данные систем веб-</w:t>
      </w:r>
      <w:r>
        <w:rPr>
          <w:lang w:val="ru-RU"/>
        </w:rPr>
        <w:lastRenderedPageBreak/>
        <w:t xml:space="preserve">аналитики и </w:t>
      </w:r>
      <w:proofErr w:type="spellStart"/>
      <w:r>
        <w:rPr>
          <w:lang w:val="ru-RU"/>
        </w:rPr>
        <w:t>коллтрекинга</w:t>
      </w:r>
      <w:proofErr w:type="spellEnd"/>
      <w:r>
        <w:rPr>
          <w:lang w:val="ru-RU"/>
        </w:rPr>
        <w:t>, включая запись телефонных обращений (при уведомлении об этом в начале звонка).</w:t>
      </w:r>
    </w:p>
    <w:p w14:paraId="324FB491" w14:textId="77777777" w:rsidR="00AA7D01" w:rsidRDefault="00000000">
      <w:pPr>
        <w:spacing w:after="120"/>
        <w:rPr>
          <w:lang w:val="ru-RU"/>
        </w:rPr>
      </w:pPr>
      <w:r>
        <w:rPr>
          <w:lang w:val="ru-RU"/>
        </w:rPr>
        <w:t>3.3. Оператор не обрабатывает специальные категории персональных данных и биометрические персональные данные.</w:t>
      </w:r>
    </w:p>
    <w:p w14:paraId="36CEF49F" w14:textId="77777777" w:rsidR="00AA7D01" w:rsidRDefault="00000000">
      <w:pPr>
        <w:pBdr>
          <w:bottom w:val="single" w:sz="8" w:space="2" w:color="1F3864"/>
        </w:pBdr>
        <w:spacing w:before="240" w:after="120"/>
        <w:rPr>
          <w:lang w:val="ru-RU"/>
        </w:rPr>
      </w:pPr>
      <w:r>
        <w:rPr>
          <w:b/>
          <w:color w:val="1F3864"/>
          <w:sz w:val="25"/>
          <w:lang w:val="ru-RU"/>
        </w:rPr>
        <w:t>4. Правовые основания обработки</w:t>
      </w:r>
    </w:p>
    <w:p w14:paraId="3C8B385A" w14:textId="77777777" w:rsidR="00AA7D01" w:rsidRDefault="00000000">
      <w:pPr>
        <w:spacing w:after="120"/>
        <w:rPr>
          <w:lang w:val="ru-RU"/>
        </w:rPr>
      </w:pPr>
      <w:r>
        <w:rPr>
          <w:lang w:val="ru-RU"/>
        </w:rPr>
        <w:t>4.1. Правовыми основаниями обработки являются: согласие субъекта персональных данных (при отправке форм — выражается проставлением отметки в соответствующем поле и является конкретным, предметным, информированным, сознательным и однозначным); необходимость исполнения договора, стороной которого является субъект; законные интересы Оператора в случаях, предусмотренных законом.</w:t>
      </w:r>
    </w:p>
    <w:p w14:paraId="43FD9E33" w14:textId="77777777" w:rsidR="00AA7D01" w:rsidRDefault="00000000">
      <w:pPr>
        <w:pBdr>
          <w:bottom w:val="single" w:sz="8" w:space="2" w:color="1F3864"/>
        </w:pBdr>
        <w:spacing w:before="240" w:after="120"/>
        <w:rPr>
          <w:lang w:val="ru-RU"/>
        </w:rPr>
      </w:pPr>
      <w:r>
        <w:rPr>
          <w:b/>
          <w:color w:val="1F3864"/>
          <w:sz w:val="25"/>
          <w:lang w:val="ru-RU"/>
        </w:rPr>
        <w:t>5. Порядок и условия обработки, сроки</w:t>
      </w:r>
    </w:p>
    <w:p w14:paraId="73AAEBA2" w14:textId="77777777" w:rsidR="00AA7D01" w:rsidRDefault="00000000">
      <w:pPr>
        <w:spacing w:after="120"/>
        <w:rPr>
          <w:lang w:val="ru-RU"/>
        </w:rPr>
      </w:pPr>
      <w:r>
        <w:rPr>
          <w:lang w:val="ru-RU"/>
        </w:rPr>
        <w:t>5.1. Обработка осуществляется с использованием средств автоматизации и без них: сбор, запись, систематизация, накопление, хранение, уточнение, извлечение, использование, передача (предоставление, доступ), блокирование, удаление, уничтожение.</w:t>
      </w:r>
    </w:p>
    <w:p w14:paraId="7F1E8F46" w14:textId="77777777" w:rsidR="00AA7D01" w:rsidRDefault="00000000">
      <w:pPr>
        <w:spacing w:after="120"/>
        <w:rPr>
          <w:lang w:val="ru-RU"/>
        </w:rPr>
      </w:pPr>
      <w:r>
        <w:rPr>
          <w:lang w:val="ru-RU"/>
        </w:rPr>
        <w:t>5.2. Базы данных, содержащие персональные данные граждан РФ, находятся на территории Российской Федерации.</w:t>
      </w:r>
    </w:p>
    <w:p w14:paraId="526B6026" w14:textId="77777777" w:rsidR="00AA7D01" w:rsidRDefault="00000000">
      <w:pPr>
        <w:spacing w:after="120"/>
        <w:rPr>
          <w:lang w:val="ru-RU"/>
        </w:rPr>
      </w:pPr>
      <w:r>
        <w:rPr>
          <w:lang w:val="ru-RU"/>
        </w:rPr>
        <w:t>5.3. Персональные данные хранятся не дольше, чем этого требуют цели обработки: данные из заявок — [3 года] с момента последнего взаимодействия либо до отзыва согласия; данные по договорам — в течение сроков, установленных законодательством о бухгалтерском и налоговом учёте.</w:t>
      </w:r>
    </w:p>
    <w:p w14:paraId="7C54650C" w14:textId="77777777" w:rsidR="00AA7D01" w:rsidRDefault="00000000">
      <w:pPr>
        <w:spacing w:after="120"/>
        <w:rPr>
          <w:lang w:val="ru-RU"/>
        </w:rPr>
      </w:pPr>
      <w:r>
        <w:rPr>
          <w:lang w:val="ru-RU"/>
        </w:rPr>
        <w:t>5.4. По достижении целей обработки либо при отзыве согласия данные уничтожаются в срок, не превышающий 30 дней, если иное не предусмотрено законом.</w:t>
      </w:r>
    </w:p>
    <w:p w14:paraId="4CB575FE" w14:textId="77777777" w:rsidR="00AA7D01" w:rsidRDefault="00000000">
      <w:pPr>
        <w:spacing w:after="120"/>
        <w:rPr>
          <w:lang w:val="ru-RU"/>
        </w:rPr>
      </w:pPr>
      <w:r>
        <w:rPr>
          <w:lang w:val="ru-RU"/>
        </w:rPr>
        <w:t>5.5. В случае установления факта неправомерной или случайной передачи (предоставления, распространения, доступа) персональных данных, повлёкшего нарушение прав субъектов, Оператор обязан уведомить Роскомнадзор в течение 24 часов с момента обнаружения инцидента.</w:t>
      </w:r>
      <w:r>
        <w:rPr>
          <w:lang w:val="ru-RU"/>
        </w:rPr>
        <w:br/>
        <w:t>5.6. Уведомление содержит сведения о предполагаемых причинах инцидента, предполагаемом вреде, принятых мерах, а также контактные данные лица, ответственного за организацию обработки персональных данных.</w:t>
      </w:r>
      <w:r>
        <w:rPr>
          <w:lang w:val="ru-RU"/>
        </w:rPr>
        <w:br/>
        <w:t>5.7. О результатах расследования инцидента и принятых мерах Оператор уведомляет Роскомнадзор в течение 72 часов с момента обнаружения инцидента.</w:t>
      </w:r>
    </w:p>
    <w:p w14:paraId="687C7C32" w14:textId="77777777" w:rsidR="00AA7D01" w:rsidRDefault="00000000">
      <w:pPr>
        <w:pBdr>
          <w:bottom w:val="single" w:sz="8" w:space="2" w:color="1F3864"/>
        </w:pBdr>
        <w:spacing w:before="240" w:after="120"/>
        <w:rPr>
          <w:lang w:val="ru-RU"/>
        </w:rPr>
      </w:pPr>
      <w:r>
        <w:rPr>
          <w:b/>
          <w:color w:val="1F3864"/>
          <w:sz w:val="25"/>
          <w:lang w:val="ru-RU"/>
        </w:rPr>
        <w:t>6. Передача данных третьим лицам</w:t>
      </w:r>
    </w:p>
    <w:p w14:paraId="0AB56BB9" w14:textId="426F10DF" w:rsidR="00AA7D01" w:rsidRDefault="00000000">
      <w:pPr>
        <w:spacing w:after="120"/>
        <w:rPr>
          <w:lang w:val="ru-RU"/>
        </w:rPr>
      </w:pPr>
      <w:r>
        <w:rPr>
          <w:lang w:val="ru-RU"/>
        </w:rPr>
        <w:t xml:space="preserve">6.1. Оператор вправе поручать обработку данных следующим категориям лиц на основании договоров, содержащих условие о конфиденциальности: сервису веб-аналитики </w:t>
      </w:r>
      <w:proofErr w:type="spellStart"/>
      <w:r>
        <w:rPr>
          <w:lang w:val="ru-RU"/>
        </w:rPr>
        <w:t>Яндекс.Метрика</w:t>
      </w:r>
      <w:proofErr w:type="spellEnd"/>
      <w:r>
        <w:rPr>
          <w:lang w:val="ru-RU"/>
        </w:rPr>
        <w:t xml:space="preserve"> (ООО «Яндекс»); сервису </w:t>
      </w:r>
      <w:proofErr w:type="spellStart"/>
      <w:r>
        <w:rPr>
          <w:lang w:val="ru-RU"/>
        </w:rPr>
        <w:t>коллтрекинга</w:t>
      </w:r>
      <w:proofErr w:type="spellEnd"/>
      <w:r>
        <w:rPr>
          <w:lang w:val="ru-RU"/>
        </w:rPr>
        <w:t xml:space="preserve"> и сквозной аналитики [</w:t>
      </w:r>
      <w:proofErr w:type="spellStart"/>
      <w:r>
        <w:t>CallTouch</w:t>
      </w:r>
      <w:proofErr w:type="spellEnd"/>
      <w:r>
        <w:rPr>
          <w:lang w:val="ru-RU"/>
        </w:rPr>
        <w:t>]; [</w:t>
      </w:r>
      <w:r>
        <w:t>CRM</w:t>
      </w:r>
      <w:r>
        <w:rPr>
          <w:lang w:val="ru-RU"/>
        </w:rPr>
        <w:t xml:space="preserve">-система — </w:t>
      </w:r>
      <w:r w:rsidR="00997D09">
        <w:rPr>
          <w:lang w:val="ru-RU"/>
        </w:rPr>
        <w:t>Битрикс24</w:t>
      </w:r>
      <w:r>
        <w:rPr>
          <w:lang w:val="ru-RU"/>
        </w:rPr>
        <w:t xml:space="preserve">]. </w:t>
      </w:r>
    </w:p>
    <w:p w14:paraId="6CF25EB6" w14:textId="77777777" w:rsidR="00AA7D01" w:rsidRDefault="00000000">
      <w:pPr>
        <w:spacing w:after="120"/>
        <w:rPr>
          <w:lang w:val="ru-RU"/>
        </w:rPr>
      </w:pPr>
      <w:r>
        <w:rPr>
          <w:lang w:val="ru-RU"/>
        </w:rPr>
        <w:t>6.2. Трансграничная передача персональных данных не осуществляется. [Подтвердить после аудита используемых сервисов.]</w:t>
      </w:r>
    </w:p>
    <w:p w14:paraId="29286966" w14:textId="77777777" w:rsidR="00AA7D01" w:rsidRDefault="00000000">
      <w:pPr>
        <w:spacing w:after="120"/>
        <w:rPr>
          <w:lang w:val="ru-RU"/>
        </w:rPr>
      </w:pPr>
      <w:r>
        <w:rPr>
          <w:lang w:val="ru-RU"/>
        </w:rPr>
        <w:t>6.3. Данные могут быть переданы уполномоченным государственным органам только по основаниям и в порядке, установленным законодательством РФ.</w:t>
      </w:r>
    </w:p>
    <w:p w14:paraId="0E603C82" w14:textId="77777777" w:rsidR="00AA7D01" w:rsidRDefault="00000000">
      <w:pPr>
        <w:pBdr>
          <w:bottom w:val="single" w:sz="8" w:space="2" w:color="1F3864"/>
        </w:pBdr>
        <w:spacing w:before="240" w:after="120"/>
        <w:rPr>
          <w:lang w:val="ru-RU"/>
        </w:rPr>
      </w:pPr>
      <w:r>
        <w:rPr>
          <w:b/>
          <w:color w:val="1F3864"/>
          <w:sz w:val="25"/>
          <w:lang w:val="ru-RU"/>
        </w:rPr>
        <w:lastRenderedPageBreak/>
        <w:t>7. Права субъекта персональных данных</w:t>
      </w:r>
    </w:p>
    <w:p w14:paraId="1CFE0186" w14:textId="77777777" w:rsidR="00AA7D01" w:rsidRDefault="00000000">
      <w:pPr>
        <w:spacing w:after="120"/>
        <w:rPr>
          <w:lang w:val="ru-RU"/>
        </w:rPr>
      </w:pPr>
      <w:r>
        <w:rPr>
          <w:lang w:val="ru-RU"/>
        </w:rPr>
        <w:t>7.1. Субъект вправе: получать информацию об обработке своих данных; требовать уточнения, блокирования или уничтожения данных; отозвать согласие на обработку; обжаловать действия Оператора в Роскомнадзор или в суд.</w:t>
      </w:r>
    </w:p>
    <w:p w14:paraId="578D314B" w14:textId="77777777" w:rsidR="00AA7D01" w:rsidRDefault="00000000">
      <w:pPr>
        <w:spacing w:after="120"/>
        <w:rPr>
          <w:lang w:val="ru-RU"/>
        </w:rPr>
      </w:pPr>
      <w:r>
        <w:rPr>
          <w:lang w:val="ru-RU"/>
        </w:rPr>
        <w:t xml:space="preserve">7.2. Для реализации прав субъект направляет запрос на </w:t>
      </w:r>
      <w:r>
        <w:t>e</w:t>
      </w:r>
      <w:r>
        <w:rPr>
          <w:lang w:val="ru-RU"/>
        </w:rPr>
        <w:t>-</w:t>
      </w:r>
      <w:r>
        <w:t>mail</w:t>
      </w:r>
      <w:r>
        <w:rPr>
          <w:lang w:val="ru-RU"/>
        </w:rPr>
        <w:t xml:space="preserve"> </w:t>
      </w:r>
      <w:r>
        <w:t>info</w:t>
      </w:r>
      <w:r>
        <w:rPr>
          <w:lang w:val="ru-RU"/>
        </w:rPr>
        <w:t>@</w:t>
      </w:r>
      <w:r>
        <w:t>logistic</w:t>
      </w:r>
      <w:r>
        <w:rPr>
          <w:lang w:val="ru-RU"/>
        </w:rPr>
        <w:t>-</w:t>
      </w:r>
      <w:r>
        <w:t>force</w:t>
      </w:r>
      <w:r>
        <w:rPr>
          <w:lang w:val="ru-RU"/>
        </w:rPr>
        <w:t>.</w:t>
      </w:r>
      <w:proofErr w:type="spellStart"/>
      <w:r>
        <w:t>ru</w:t>
      </w:r>
      <w:proofErr w:type="spellEnd"/>
      <w:r>
        <w:rPr>
          <w:lang w:val="ru-RU"/>
        </w:rPr>
        <w:t xml:space="preserve"> или почтой на адрес Оператора. Оператор отвечает в течение 10 рабочих дней с момента обращения (срок может быть продлён не более чем на 5 рабочих дней с уведомлением).</w:t>
      </w:r>
    </w:p>
    <w:p w14:paraId="5EA8EC40" w14:textId="77777777" w:rsidR="00AA7D01" w:rsidRDefault="00000000">
      <w:pPr>
        <w:spacing w:after="120"/>
        <w:rPr>
          <w:lang w:val="ru-RU"/>
        </w:rPr>
      </w:pPr>
      <w:r>
        <w:rPr>
          <w:lang w:val="ru-RU"/>
        </w:rPr>
        <w:t>7.3. Отзыв согласия не влияет на законность обработки, осуществлявшейся до отзыва, и не лишает Оператора права продолжить обработку по иным законным основаниям.</w:t>
      </w:r>
    </w:p>
    <w:p w14:paraId="117C4392" w14:textId="77777777" w:rsidR="00AA7D01" w:rsidRDefault="00000000">
      <w:pPr>
        <w:pBdr>
          <w:bottom w:val="single" w:sz="8" w:space="2" w:color="1F3864"/>
        </w:pBdr>
        <w:spacing w:before="240" w:after="120"/>
        <w:rPr>
          <w:lang w:val="ru-RU"/>
        </w:rPr>
      </w:pPr>
      <w:r>
        <w:rPr>
          <w:b/>
          <w:color w:val="1F3864"/>
          <w:sz w:val="25"/>
          <w:lang w:val="ru-RU"/>
        </w:rPr>
        <w:t>8. Меры защиты персональных данных</w:t>
      </w:r>
    </w:p>
    <w:p w14:paraId="6738F63A" w14:textId="77777777" w:rsidR="00AA7D01" w:rsidRDefault="00000000">
      <w:pPr>
        <w:spacing w:after="120"/>
        <w:rPr>
          <w:lang w:val="ru-RU"/>
        </w:rPr>
      </w:pPr>
      <w:r>
        <w:rPr>
          <w:lang w:val="ru-RU"/>
        </w:rPr>
        <w:t>8.1. Оператор принимает необходимые правовые, организационные и технические меры: назначено лицо, ответственное за организацию обработки; изданы локальные акты по вопросам обработки; применяются ограничение доступа, защита каналов передачи (</w:t>
      </w:r>
      <w:r>
        <w:t>HTTPS</w:t>
      </w:r>
      <w:r>
        <w:rPr>
          <w:lang w:val="ru-RU"/>
        </w:rPr>
        <w:t>), антивирусная защита, резервное копирование, учёт носителей; проводится внутренний контроль соответствия обработки требованиям 152-ФЗ.</w:t>
      </w:r>
    </w:p>
    <w:p w14:paraId="0F4B0622" w14:textId="77777777" w:rsidR="00AA7D01" w:rsidRDefault="00000000">
      <w:pPr>
        <w:pBdr>
          <w:bottom w:val="single" w:sz="8" w:space="2" w:color="1F3864"/>
        </w:pBdr>
        <w:spacing w:before="240" w:after="120"/>
        <w:rPr>
          <w:lang w:val="ru-RU"/>
        </w:rPr>
      </w:pPr>
      <w:r>
        <w:rPr>
          <w:b/>
          <w:color w:val="1F3864"/>
          <w:sz w:val="25"/>
          <w:lang w:val="ru-RU"/>
        </w:rPr>
        <w:t xml:space="preserve">9. Файлы </w:t>
      </w:r>
      <w:r>
        <w:rPr>
          <w:b/>
          <w:color w:val="1F3864"/>
          <w:sz w:val="25"/>
        </w:rPr>
        <w:t>cookie</w:t>
      </w:r>
    </w:p>
    <w:p w14:paraId="4C3711E1" w14:textId="77777777" w:rsidR="00AA7D01" w:rsidRDefault="00000000">
      <w:pPr>
        <w:spacing w:after="120"/>
        <w:rPr>
          <w:lang w:val="ru-RU"/>
        </w:rPr>
      </w:pPr>
      <w:r>
        <w:rPr>
          <w:lang w:val="ru-RU"/>
        </w:rPr>
        <w:t xml:space="preserve">9.1. Сайт использует </w:t>
      </w:r>
      <w:r>
        <w:t>cookie</w:t>
      </w:r>
      <w:r>
        <w:rPr>
          <w:lang w:val="ru-RU"/>
        </w:rPr>
        <w:t xml:space="preserve"> для корректной работы, персонализации и статистики. Пользователь может отключить </w:t>
      </w:r>
      <w:r>
        <w:t>cookie</w:t>
      </w:r>
      <w:r>
        <w:rPr>
          <w:lang w:val="ru-RU"/>
        </w:rPr>
        <w:t xml:space="preserve"> в настройках браузера; это может повлиять на работу отдельных функций Сайта.</w:t>
      </w:r>
    </w:p>
    <w:p w14:paraId="77B5C22C" w14:textId="77777777" w:rsidR="00AA7D01" w:rsidRDefault="00000000">
      <w:pPr>
        <w:pBdr>
          <w:bottom w:val="single" w:sz="8" w:space="2" w:color="1F3864"/>
        </w:pBdr>
        <w:spacing w:before="240" w:after="120"/>
        <w:rPr>
          <w:lang w:val="ru-RU"/>
        </w:rPr>
      </w:pPr>
      <w:r>
        <w:rPr>
          <w:b/>
          <w:color w:val="1F3864"/>
          <w:sz w:val="25"/>
          <w:lang w:val="ru-RU"/>
        </w:rPr>
        <w:t>10. Заключительные положения</w:t>
      </w:r>
    </w:p>
    <w:p w14:paraId="12E6FF3C" w14:textId="77777777" w:rsidR="00AA7D01" w:rsidRDefault="00000000">
      <w:pPr>
        <w:spacing w:after="120"/>
        <w:rPr>
          <w:lang w:val="ru-RU"/>
        </w:rPr>
      </w:pPr>
      <w:r>
        <w:rPr>
          <w:lang w:val="ru-RU"/>
        </w:rPr>
        <w:t xml:space="preserve">10.1. Оператор вправе вносить изменения в Политику. Новая редакция вступает в силу с момента публикации на Сайте. Действующая редакция постоянно доступна по адресу: </w:t>
      </w:r>
      <w:r>
        <w:t>logistic</w:t>
      </w:r>
      <w:r>
        <w:rPr>
          <w:lang w:val="ru-RU"/>
        </w:rPr>
        <w:t>-</w:t>
      </w:r>
      <w:r>
        <w:t>force</w:t>
      </w:r>
      <w:r>
        <w:rPr>
          <w:lang w:val="ru-RU"/>
        </w:rPr>
        <w:t>.</w:t>
      </w:r>
      <w:proofErr w:type="spellStart"/>
      <w:r>
        <w:t>ru</w:t>
      </w:r>
      <w:proofErr w:type="spellEnd"/>
      <w:r>
        <w:rPr>
          <w:lang w:val="ru-RU"/>
        </w:rPr>
        <w:t>/</w:t>
      </w:r>
      <w:r>
        <w:t>privacy</w:t>
      </w:r>
      <w:r>
        <w:rPr>
          <w:lang w:val="ru-RU"/>
        </w:rPr>
        <w:t>.</w:t>
      </w:r>
    </w:p>
    <w:p w14:paraId="42DA4DFB" w14:textId="77777777" w:rsidR="00AA7D01" w:rsidRDefault="00000000">
      <w:pPr>
        <w:pBdr>
          <w:bottom w:val="single" w:sz="8" w:space="2" w:color="1F3864"/>
        </w:pBdr>
        <w:spacing w:before="240" w:after="120"/>
        <w:rPr>
          <w:lang w:val="ru-RU"/>
        </w:rPr>
      </w:pPr>
      <w:r>
        <w:rPr>
          <w:b/>
          <w:color w:val="1F3864"/>
          <w:sz w:val="25"/>
          <w:lang w:val="ru-RU"/>
        </w:rPr>
        <w:t>Приложение. Текст согласия для формы (чекбокс)</w:t>
      </w:r>
    </w:p>
    <w:p w14:paraId="4BEE5DF7" w14:textId="77777777" w:rsidR="00AA7D01" w:rsidRDefault="00000000">
      <w:pPr>
        <w:spacing w:after="120"/>
        <w:rPr>
          <w:lang w:val="ru-RU"/>
        </w:rPr>
      </w:pPr>
      <w:r>
        <w:rPr>
          <w:i/>
          <w:lang w:val="ru-RU"/>
        </w:rPr>
        <w:t>«Отправляя форму, даю согласие ООО «</w:t>
      </w:r>
      <w:proofErr w:type="spellStart"/>
      <w:r>
        <w:rPr>
          <w:i/>
          <w:lang w:val="ru-RU"/>
        </w:rPr>
        <w:t>Лоджистик</w:t>
      </w:r>
      <w:proofErr w:type="spellEnd"/>
      <w:r>
        <w:rPr>
          <w:i/>
          <w:lang w:val="ru-RU"/>
        </w:rPr>
        <w:t xml:space="preserve"> Форс ДВ» (ИНН 2543121812) на обработку моих персональных данных, указанных в форме, в целях рассмотрения заявки и связи со мной, в соответствии с Политикой обработки персональных данных».</w:t>
      </w:r>
    </w:p>
    <w:p w14:paraId="1297A706" w14:textId="77777777" w:rsidR="00AA7D01" w:rsidRDefault="00000000">
      <w:pPr>
        <w:spacing w:after="120"/>
        <w:rPr>
          <w:lang w:val="ru-RU"/>
        </w:rPr>
      </w:pPr>
      <w:r>
        <w:rPr>
          <w:color w:val="595959"/>
          <w:sz w:val="19"/>
          <w:lang w:val="ru-RU"/>
        </w:rPr>
        <w:t>Требования к реализации: чекбокс не должен быть проставлен заранее; ссылка «Политикой обработки персональных данных» ведёт на страницу Политики; отправка формы без отметки невозможна.</w:t>
      </w:r>
    </w:p>
    <w:sectPr w:rsidR="00AA7D01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5393C" w14:textId="77777777" w:rsidR="00F16C69" w:rsidRDefault="00F16C69">
      <w:pPr>
        <w:spacing w:after="0" w:line="240" w:lineRule="auto"/>
      </w:pPr>
      <w:r>
        <w:separator/>
      </w:r>
    </w:p>
  </w:endnote>
  <w:endnote w:type="continuationSeparator" w:id="0">
    <w:p w14:paraId="73F4F180" w14:textId="77777777" w:rsidR="00F16C69" w:rsidRDefault="00F16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D02CD" w14:textId="77777777" w:rsidR="00F16C69" w:rsidRDefault="00F16C69">
      <w:pPr>
        <w:spacing w:after="0" w:line="240" w:lineRule="auto"/>
      </w:pPr>
      <w:r>
        <w:separator/>
      </w:r>
    </w:p>
  </w:footnote>
  <w:footnote w:type="continuationSeparator" w:id="0">
    <w:p w14:paraId="0925C1DF" w14:textId="77777777" w:rsidR="00F16C69" w:rsidRDefault="00F16C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45FA2"/>
    <w:multiLevelType w:val="hybridMultilevel"/>
    <w:tmpl w:val="225EF2F4"/>
    <w:lvl w:ilvl="0" w:tplc="2DBE400A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  <w:lvl w:ilvl="1" w:tplc="337C8D9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36C5CC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2A26EE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8522A2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3F4025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D6A3D4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C90FC2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FE40E9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47FC5CD1"/>
    <w:multiLevelType w:val="hybridMultilevel"/>
    <w:tmpl w:val="0C2E99E8"/>
    <w:lvl w:ilvl="0" w:tplc="068EDC7A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26E0F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3E2EFC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E8AA05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19EF88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2D4767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162D7F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42E8B3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314A91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485F2423"/>
    <w:multiLevelType w:val="hybridMultilevel"/>
    <w:tmpl w:val="3BAEDB46"/>
    <w:lvl w:ilvl="0" w:tplc="98FC853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1A4B75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1CAE25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416DE5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DCA285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04785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F7E444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FD203E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6B0175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4B651996"/>
    <w:multiLevelType w:val="hybridMultilevel"/>
    <w:tmpl w:val="81A63F0A"/>
    <w:lvl w:ilvl="0" w:tplc="EBE66D08">
      <w:start w:val="1"/>
      <w:numFmt w:val="bullet"/>
      <w:pStyle w:val="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5FF4A96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9FAC57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4BC5FC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5E2A0D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1A2786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09CD0F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8822A9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658C4E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4BC04133"/>
    <w:multiLevelType w:val="hybridMultilevel"/>
    <w:tmpl w:val="0F90499E"/>
    <w:lvl w:ilvl="0" w:tplc="C4F2FCE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3CC914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6F4F76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886428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558A97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FC471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6582A1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E04BAA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17E2EC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5AF07045"/>
    <w:multiLevelType w:val="hybridMultilevel"/>
    <w:tmpl w:val="C8201B02"/>
    <w:lvl w:ilvl="0" w:tplc="867E38A4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  <w:lvl w:ilvl="1" w:tplc="590A6A5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9625B3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C7ADF6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ABE364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8A2CDB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6E881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1BE8DB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572A6B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5EA120F4"/>
    <w:multiLevelType w:val="hybridMultilevel"/>
    <w:tmpl w:val="DC7C33D6"/>
    <w:lvl w:ilvl="0" w:tplc="124E8A2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E72412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104188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42AFF5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6A45EF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8EEF91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AD4D34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650412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5FC7EA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716B791D"/>
    <w:multiLevelType w:val="hybridMultilevel"/>
    <w:tmpl w:val="5F0A8976"/>
    <w:lvl w:ilvl="0" w:tplc="DF86BCE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3648E4A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4B68D7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D28EEE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76633F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19483E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E40AF4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B6C967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C3252A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72AD39FB"/>
    <w:multiLevelType w:val="hybridMultilevel"/>
    <w:tmpl w:val="05DC3FE2"/>
    <w:lvl w:ilvl="0" w:tplc="1BB43478">
      <w:start w:val="1"/>
      <w:numFmt w:val="decimal"/>
      <w:pStyle w:val="30"/>
      <w:lvlText w:val="%1."/>
      <w:lvlJc w:val="left"/>
      <w:pPr>
        <w:tabs>
          <w:tab w:val="num" w:pos="1080"/>
        </w:tabs>
        <w:ind w:left="1080" w:hanging="360"/>
      </w:pPr>
    </w:lvl>
    <w:lvl w:ilvl="1" w:tplc="59D81D9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CD00C5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B8AAA3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C8492E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08F16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E36657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42C72D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B16424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 w16cid:durableId="1101224458">
    <w:abstractNumId w:val="2"/>
  </w:num>
  <w:num w:numId="2" w16cid:durableId="469714017">
    <w:abstractNumId w:val="1"/>
  </w:num>
  <w:num w:numId="3" w16cid:durableId="1285846698">
    <w:abstractNumId w:val="3"/>
  </w:num>
  <w:num w:numId="4" w16cid:durableId="1358390903">
    <w:abstractNumId w:val="4"/>
  </w:num>
  <w:num w:numId="5" w16cid:durableId="1051924798">
    <w:abstractNumId w:val="5"/>
  </w:num>
  <w:num w:numId="6" w16cid:durableId="1394036862">
    <w:abstractNumId w:val="0"/>
  </w:num>
  <w:num w:numId="7" w16cid:durableId="1490320942">
    <w:abstractNumId w:val="8"/>
  </w:num>
  <w:num w:numId="8" w16cid:durableId="483741223">
    <w:abstractNumId w:val="6"/>
  </w:num>
  <w:num w:numId="9" w16cid:durableId="14902458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D01"/>
    <w:rsid w:val="00562C6D"/>
    <w:rsid w:val="00997D09"/>
    <w:rsid w:val="00AA7D01"/>
    <w:rsid w:val="00F1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E0EEC"/>
  <w15:docId w15:val="{77344E58-3A86-4310-A573-877D4AFDD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Pr>
      <w:rFonts w:ascii="Arial" w:eastAsia="Arial" w:hAnsi="Arial"/>
      <w:sz w:val="21"/>
    </w:rPr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Heading1Char">
    <w:name w:val="Heading 1 Char"/>
    <w:basedOn w:val="a2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2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2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2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2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2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2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2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2"/>
    <w:uiPriority w:val="10"/>
    <w:rPr>
      <w:sz w:val="48"/>
      <w:szCs w:val="48"/>
    </w:rPr>
  </w:style>
  <w:style w:type="character" w:customStyle="1" w:styleId="SubtitleChar">
    <w:name w:val="Subtitle Char"/>
    <w:basedOn w:val="a2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2"/>
    <w:uiPriority w:val="99"/>
  </w:style>
  <w:style w:type="character" w:customStyle="1" w:styleId="FooterChar">
    <w:name w:val="Footer Char"/>
    <w:basedOn w:val="a2"/>
    <w:uiPriority w:val="99"/>
  </w:style>
  <w:style w:type="character" w:customStyle="1" w:styleId="a5">
    <w:name w:val="Название объекта Знак"/>
    <w:basedOn w:val="a2"/>
    <w:link w:val="a6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3">
    <w:name w:val="Plain Table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7">
    <w:name w:val="Hyperlink"/>
    <w:uiPriority w:val="99"/>
    <w:unhideWhenUsed/>
    <w:rPr>
      <w:color w:val="0000FF" w:themeColor="hyperlink"/>
      <w:u w:val="single"/>
    </w:rPr>
  </w:style>
  <w:style w:type="paragraph" w:styleId="a8">
    <w:name w:val="footnote text"/>
    <w:basedOn w:val="a1"/>
    <w:link w:val="a9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2"/>
    <w:uiPriority w:val="99"/>
    <w:unhideWhenUsed/>
    <w:rPr>
      <w:vertAlign w:val="superscript"/>
    </w:rPr>
  </w:style>
  <w:style w:type="paragraph" w:styleId="ab">
    <w:name w:val="endnote text"/>
    <w:basedOn w:val="a1"/>
    <w:link w:val="ac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2"/>
    <w:uiPriority w:val="99"/>
    <w:semiHidden/>
    <w:unhideWhenUsed/>
    <w:rPr>
      <w:vertAlign w:val="superscript"/>
    </w:rPr>
  </w:style>
  <w:style w:type="paragraph" w:styleId="12">
    <w:name w:val="toc 1"/>
    <w:basedOn w:val="a1"/>
    <w:next w:val="a1"/>
    <w:uiPriority w:val="39"/>
    <w:unhideWhenUsed/>
    <w:pPr>
      <w:spacing w:after="57"/>
    </w:pPr>
  </w:style>
  <w:style w:type="paragraph" w:styleId="24">
    <w:name w:val="toc 2"/>
    <w:basedOn w:val="a1"/>
    <w:next w:val="a1"/>
    <w:uiPriority w:val="39"/>
    <w:unhideWhenUsed/>
    <w:pPr>
      <w:spacing w:after="57"/>
      <w:ind w:left="283"/>
    </w:pPr>
  </w:style>
  <w:style w:type="paragraph" w:styleId="34">
    <w:name w:val="toc 3"/>
    <w:basedOn w:val="a1"/>
    <w:next w:val="a1"/>
    <w:uiPriority w:val="39"/>
    <w:unhideWhenUsed/>
    <w:pPr>
      <w:spacing w:after="57"/>
      <w:ind w:left="567"/>
    </w:pPr>
  </w:style>
  <w:style w:type="paragraph" w:styleId="42">
    <w:name w:val="toc 4"/>
    <w:basedOn w:val="a1"/>
    <w:next w:val="a1"/>
    <w:uiPriority w:val="39"/>
    <w:unhideWhenUsed/>
    <w:pPr>
      <w:spacing w:after="57"/>
      <w:ind w:left="850"/>
    </w:pPr>
  </w:style>
  <w:style w:type="paragraph" w:styleId="52">
    <w:name w:val="toc 5"/>
    <w:basedOn w:val="a1"/>
    <w:next w:val="a1"/>
    <w:uiPriority w:val="39"/>
    <w:unhideWhenUsed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pPr>
      <w:spacing w:after="57"/>
      <w:ind w:left="2268"/>
    </w:pPr>
  </w:style>
  <w:style w:type="paragraph" w:styleId="ae">
    <w:name w:val="table of figures"/>
    <w:basedOn w:val="a1"/>
    <w:next w:val="a1"/>
    <w:uiPriority w:val="99"/>
    <w:unhideWhenUsed/>
    <w:pPr>
      <w:spacing w:after="0"/>
    </w:pPr>
  </w:style>
  <w:style w:type="paragraph" w:styleId="af">
    <w:name w:val="header"/>
    <w:basedOn w:val="a1"/>
    <w:link w:val="af0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Верхний колонтитул Знак"/>
    <w:basedOn w:val="a2"/>
    <w:link w:val="af"/>
    <w:uiPriority w:val="99"/>
  </w:style>
  <w:style w:type="paragraph" w:styleId="af1">
    <w:name w:val="footer"/>
    <w:basedOn w:val="a1"/>
    <w:link w:val="af2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2">
    <w:name w:val="Нижний колонтитул Знак"/>
    <w:basedOn w:val="a2"/>
    <w:link w:val="af1"/>
    <w:uiPriority w:val="99"/>
  </w:style>
  <w:style w:type="paragraph" w:styleId="af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4">
    <w:name w:val="Title"/>
    <w:basedOn w:val="a1"/>
    <w:next w:val="a1"/>
    <w:link w:val="af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5">
    <w:name w:val="Заголовок Знак"/>
    <w:basedOn w:val="a2"/>
    <w:link w:val="af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f6">
    <w:name w:val="Subtitle"/>
    <w:basedOn w:val="a1"/>
    <w:next w:val="a1"/>
    <w:link w:val="af7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7">
    <w:name w:val="Подзаголовок Знак"/>
    <w:basedOn w:val="a2"/>
    <w:link w:val="af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8">
    <w:name w:val="List Paragraph"/>
    <w:basedOn w:val="a1"/>
    <w:uiPriority w:val="34"/>
    <w:qFormat/>
    <w:pPr>
      <w:ind w:left="720"/>
      <w:contextualSpacing/>
    </w:pPr>
  </w:style>
  <w:style w:type="paragraph" w:styleId="af9">
    <w:name w:val="Body Text"/>
    <w:basedOn w:val="a1"/>
    <w:link w:val="afa"/>
    <w:uiPriority w:val="99"/>
    <w:unhideWhenUsed/>
    <w:pPr>
      <w:spacing w:after="120"/>
    </w:pPr>
  </w:style>
  <w:style w:type="character" w:customStyle="1" w:styleId="afa">
    <w:name w:val="Основной текст Знак"/>
    <w:basedOn w:val="a2"/>
    <w:link w:val="af9"/>
    <w:uiPriority w:val="99"/>
  </w:style>
  <w:style w:type="paragraph" w:styleId="25">
    <w:name w:val="Body Text 2"/>
    <w:basedOn w:val="a1"/>
    <w:link w:val="26"/>
    <w:uiPriority w:val="99"/>
    <w:unhideWhenUsed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uiPriority w:val="99"/>
  </w:style>
  <w:style w:type="paragraph" w:styleId="35">
    <w:name w:val="Body Text 3"/>
    <w:basedOn w:val="a1"/>
    <w:link w:val="36"/>
    <w:uiPriority w:val="99"/>
    <w:unhideWhenUsed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basedOn w:val="a2"/>
    <w:link w:val="35"/>
    <w:uiPriority w:val="99"/>
    <w:rPr>
      <w:sz w:val="16"/>
      <w:szCs w:val="16"/>
    </w:rPr>
  </w:style>
  <w:style w:type="paragraph" w:styleId="afb">
    <w:name w:val="List"/>
    <w:basedOn w:val="a1"/>
    <w:uiPriority w:val="99"/>
    <w:unhideWhenUsed/>
    <w:pPr>
      <w:ind w:left="360" w:hanging="360"/>
      <w:contextualSpacing/>
    </w:pPr>
  </w:style>
  <w:style w:type="paragraph" w:styleId="27">
    <w:name w:val="List 2"/>
    <w:basedOn w:val="a1"/>
    <w:uiPriority w:val="99"/>
    <w:unhideWhenUsed/>
    <w:pPr>
      <w:ind w:left="720" w:hanging="360"/>
      <w:contextualSpacing/>
    </w:pPr>
  </w:style>
  <w:style w:type="paragraph" w:styleId="37">
    <w:name w:val="List 3"/>
    <w:basedOn w:val="a1"/>
    <w:uiPriority w:val="99"/>
    <w:unhideWhenUsed/>
    <w:pPr>
      <w:ind w:left="1080" w:hanging="360"/>
      <w:contextualSpacing/>
    </w:pPr>
  </w:style>
  <w:style w:type="paragraph" w:styleId="a">
    <w:name w:val="List Bullet"/>
    <w:basedOn w:val="a1"/>
    <w:uiPriority w:val="99"/>
    <w:unhideWhenUsed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pPr>
      <w:numPr>
        <w:numId w:val="2"/>
      </w:numPr>
      <w:contextualSpacing/>
    </w:pPr>
  </w:style>
  <w:style w:type="paragraph" w:styleId="3">
    <w:name w:val="List Bullet 3"/>
    <w:basedOn w:val="a1"/>
    <w:uiPriority w:val="99"/>
    <w:unhideWhenUsed/>
    <w:pPr>
      <w:numPr>
        <w:numId w:val="3"/>
      </w:numPr>
      <w:contextualSpacing/>
    </w:pPr>
  </w:style>
  <w:style w:type="paragraph" w:styleId="a0">
    <w:name w:val="List Number"/>
    <w:basedOn w:val="a1"/>
    <w:uiPriority w:val="99"/>
    <w:unhideWhenUsed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pPr>
      <w:numPr>
        <w:numId w:val="6"/>
      </w:numPr>
      <w:contextualSpacing/>
    </w:pPr>
  </w:style>
  <w:style w:type="paragraph" w:styleId="30">
    <w:name w:val="List Number 3"/>
    <w:basedOn w:val="a1"/>
    <w:uiPriority w:val="99"/>
    <w:unhideWhenUsed/>
    <w:pPr>
      <w:numPr>
        <w:numId w:val="7"/>
      </w:numPr>
      <w:contextualSpacing/>
    </w:pPr>
  </w:style>
  <w:style w:type="paragraph" w:styleId="afc">
    <w:name w:val="List Continue"/>
    <w:basedOn w:val="a1"/>
    <w:uiPriority w:val="99"/>
    <w:unhideWhenUsed/>
    <w:pPr>
      <w:spacing w:after="120"/>
      <w:ind w:left="360"/>
      <w:contextualSpacing/>
    </w:pPr>
  </w:style>
  <w:style w:type="paragraph" w:styleId="28">
    <w:name w:val="List Continue 2"/>
    <w:basedOn w:val="a1"/>
    <w:uiPriority w:val="99"/>
    <w:unhideWhenUsed/>
    <w:pPr>
      <w:spacing w:after="120"/>
      <w:ind w:left="720"/>
      <w:contextualSpacing/>
    </w:pPr>
  </w:style>
  <w:style w:type="paragraph" w:styleId="38">
    <w:name w:val="List Continue 3"/>
    <w:basedOn w:val="a1"/>
    <w:uiPriority w:val="99"/>
    <w:unhideWhenUsed/>
    <w:pPr>
      <w:spacing w:after="120"/>
      <w:ind w:left="1080"/>
      <w:contextualSpacing/>
    </w:pPr>
  </w:style>
  <w:style w:type="paragraph" w:styleId="afd">
    <w:name w:val="macro"/>
    <w:link w:val="afe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e">
    <w:name w:val="Текст макроса Знак"/>
    <w:basedOn w:val="a2"/>
    <w:link w:val="afd"/>
    <w:uiPriority w:val="99"/>
    <w:rPr>
      <w:rFonts w:ascii="Courier" w:hAnsi="Courier"/>
      <w:sz w:val="20"/>
      <w:szCs w:val="20"/>
    </w:rPr>
  </w:style>
  <w:style w:type="paragraph" w:styleId="29">
    <w:name w:val="Quote"/>
    <w:basedOn w:val="a1"/>
    <w:next w:val="a1"/>
    <w:link w:val="2a"/>
    <w:uiPriority w:val="29"/>
    <w:qFormat/>
    <w:rPr>
      <w:i/>
      <w:iCs/>
      <w:color w:val="000000" w:themeColor="text1"/>
    </w:rPr>
  </w:style>
  <w:style w:type="character" w:customStyle="1" w:styleId="2a">
    <w:name w:val="Цитата 2 Знак"/>
    <w:basedOn w:val="a2"/>
    <w:link w:val="29"/>
    <w:uiPriority w:val="29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caption"/>
    <w:basedOn w:val="a1"/>
    <w:next w:val="a1"/>
    <w:link w:val="a5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f">
    <w:name w:val="Strong"/>
    <w:basedOn w:val="a2"/>
    <w:uiPriority w:val="22"/>
    <w:qFormat/>
    <w:rPr>
      <w:b/>
      <w:bCs/>
    </w:rPr>
  </w:style>
  <w:style w:type="character" w:styleId="aff0">
    <w:name w:val="Emphasis"/>
    <w:basedOn w:val="a2"/>
    <w:uiPriority w:val="20"/>
    <w:qFormat/>
    <w:rPr>
      <w:i/>
      <w:iCs/>
    </w:rPr>
  </w:style>
  <w:style w:type="paragraph" w:styleId="aff1">
    <w:name w:val="Intense Quote"/>
    <w:basedOn w:val="a1"/>
    <w:next w:val="a1"/>
    <w:link w:val="aff2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2">
    <w:name w:val="Выделенная цитата Знак"/>
    <w:basedOn w:val="a2"/>
    <w:link w:val="aff1"/>
    <w:uiPriority w:val="30"/>
    <w:rPr>
      <w:b/>
      <w:bCs/>
      <w:i/>
      <w:iCs/>
      <w:color w:val="4F81BD" w:themeColor="accent1"/>
    </w:rPr>
  </w:style>
  <w:style w:type="character" w:styleId="aff3">
    <w:name w:val="Subtle Emphasis"/>
    <w:basedOn w:val="a2"/>
    <w:uiPriority w:val="19"/>
    <w:qFormat/>
    <w:rPr>
      <w:i/>
      <w:iCs/>
      <w:color w:val="808080" w:themeColor="text1" w:themeTint="7F"/>
    </w:rPr>
  </w:style>
  <w:style w:type="character" w:styleId="aff4">
    <w:name w:val="Intense Emphasis"/>
    <w:basedOn w:val="a2"/>
    <w:uiPriority w:val="21"/>
    <w:qFormat/>
    <w:rPr>
      <w:b/>
      <w:bCs/>
      <w:i/>
      <w:iCs/>
      <w:color w:val="4F81BD" w:themeColor="accent1"/>
    </w:rPr>
  </w:style>
  <w:style w:type="character" w:styleId="aff5">
    <w:name w:val="Subtle Reference"/>
    <w:basedOn w:val="a2"/>
    <w:uiPriority w:val="31"/>
    <w:qFormat/>
    <w:rPr>
      <w:smallCaps/>
      <w:color w:val="C0504D" w:themeColor="accent2"/>
      <w:u w:val="single"/>
    </w:rPr>
  </w:style>
  <w:style w:type="character" w:styleId="aff6">
    <w:name w:val="Intense Reference"/>
    <w:basedOn w:val="a2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f7">
    <w:name w:val="Book Title"/>
    <w:basedOn w:val="a2"/>
    <w:uiPriority w:val="33"/>
    <w:qFormat/>
    <w:rPr>
      <w:b/>
      <w:bCs/>
      <w:smallCaps/>
      <w:spacing w:val="5"/>
    </w:rPr>
  </w:style>
  <w:style w:type="paragraph" w:styleId="aff8">
    <w:name w:val="TOC Heading"/>
    <w:basedOn w:val="1"/>
    <w:next w:val="a1"/>
    <w:uiPriority w:val="39"/>
    <w:semiHidden/>
    <w:unhideWhenUsed/>
    <w:qFormat/>
    <w:pPr>
      <w:outlineLvl w:val="9"/>
    </w:pPr>
  </w:style>
  <w:style w:type="table" w:styleId="aff9">
    <w:name w:val="Table Grid"/>
    <w:basedOn w:val="a3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a">
    <w:name w:val="Light Shading"/>
    <w:basedOn w:val="a3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one" w:sz="4" w:space="0" w:color="000000"/>
          <w:bottom w:val="single" w:sz="8" w:space="0" w:color="000000" w:themeColor="text1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one" w:sz="4" w:space="0" w:color="000000"/>
          <w:bottom w:val="single" w:sz="8" w:space="0" w:color="000000" w:themeColor="text1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C0C0C0" w:themeFill="text1" w:themeFillTint="3F"/>
      </w:tcPr>
    </w:tblStylePr>
  </w:style>
  <w:style w:type="table" w:styleId="-11">
    <w:name w:val="Light Shading Accent 1"/>
    <w:basedOn w:val="a3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one" w:sz="4" w:space="0" w:color="000000"/>
          <w:bottom w:val="single" w:sz="8" w:space="0" w:color="4F81BD" w:themeColor="accent1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one" w:sz="4" w:space="0" w:color="000000"/>
          <w:bottom w:val="single" w:sz="8" w:space="0" w:color="4F81BD" w:themeColor="accent1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D3DFEE" w:themeFill="accent1" w:themeFillTint="3F"/>
      </w:tcPr>
    </w:tblStylePr>
  </w:style>
  <w:style w:type="table" w:styleId="-21">
    <w:name w:val="Light Shading Accent 2"/>
    <w:basedOn w:val="a3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one" w:sz="4" w:space="0" w:color="000000"/>
          <w:bottom w:val="single" w:sz="8" w:space="0" w:color="C0504D" w:themeColor="accent2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one" w:sz="4" w:space="0" w:color="000000"/>
          <w:bottom w:val="single" w:sz="8" w:space="0" w:color="C0504D" w:themeColor="accent2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EFD3D2" w:themeFill="accent2" w:themeFillTint="3F"/>
      </w:tcPr>
    </w:tblStylePr>
  </w:style>
  <w:style w:type="table" w:styleId="-31">
    <w:name w:val="Light Shading Accent 3"/>
    <w:basedOn w:val="a3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one" w:sz="4" w:space="0" w:color="000000"/>
          <w:bottom w:val="single" w:sz="8" w:space="0" w:color="9BBB59" w:themeColor="accent3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one" w:sz="4" w:space="0" w:color="000000"/>
          <w:bottom w:val="single" w:sz="8" w:space="0" w:color="9BBB59" w:themeColor="accent3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E6EED5" w:themeFill="accent3" w:themeFillTint="3F"/>
      </w:tcPr>
    </w:tblStylePr>
  </w:style>
  <w:style w:type="table" w:styleId="-41">
    <w:name w:val="Light Shading Accent 4"/>
    <w:basedOn w:val="a3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one" w:sz="4" w:space="0" w:color="000000"/>
          <w:bottom w:val="single" w:sz="8" w:space="0" w:color="8064A2" w:themeColor="accent4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one" w:sz="4" w:space="0" w:color="000000"/>
          <w:bottom w:val="single" w:sz="8" w:space="0" w:color="8064A2" w:themeColor="accent4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DFD8E8" w:themeFill="accent4" w:themeFillTint="3F"/>
      </w:tcPr>
    </w:tblStylePr>
  </w:style>
  <w:style w:type="table" w:styleId="-51">
    <w:name w:val="Light Shading Accent 5"/>
    <w:basedOn w:val="a3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one" w:sz="4" w:space="0" w:color="000000"/>
          <w:bottom w:val="single" w:sz="8" w:space="0" w:color="4BACC6" w:themeColor="accent5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one" w:sz="4" w:space="0" w:color="000000"/>
          <w:bottom w:val="single" w:sz="8" w:space="0" w:color="4BACC6" w:themeColor="accent5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D2EAF1" w:themeFill="accent5" w:themeFillTint="3F"/>
      </w:tcPr>
    </w:tblStylePr>
  </w:style>
  <w:style w:type="table" w:styleId="-61">
    <w:name w:val="Light Shading Accent 6"/>
    <w:basedOn w:val="a3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one" w:sz="4" w:space="0" w:color="000000"/>
          <w:bottom w:val="single" w:sz="8" w:space="0" w:color="F79646" w:themeColor="accent6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one" w:sz="4" w:space="0" w:color="000000"/>
          <w:bottom w:val="single" w:sz="8" w:space="0" w:color="F79646" w:themeColor="accent6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FDE4D0" w:themeFill="accent6" w:themeFillTint="3F"/>
      </w:tcPr>
    </w:tblStylePr>
  </w:style>
  <w:style w:type="table" w:styleId="affb">
    <w:name w:val="Light List"/>
    <w:basedOn w:val="a3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3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2">
    <w:name w:val="Light List Accent 2"/>
    <w:basedOn w:val="a3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2">
    <w:name w:val="Light List Accent 3"/>
    <w:basedOn w:val="a3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2">
    <w:name w:val="Light List Accent 4"/>
    <w:basedOn w:val="a3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2">
    <w:name w:val="Light List Accent 5"/>
    <w:basedOn w:val="a3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2">
    <w:name w:val="Light List Accent 6"/>
    <w:basedOn w:val="a3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c">
    <w:name w:val="Light Grid"/>
    <w:basedOn w:val="a3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3">
    <w:name w:val="Light Grid Accent 1"/>
    <w:basedOn w:val="a3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3">
    <w:name w:val="Light Grid Accent 2"/>
    <w:basedOn w:val="a3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3">
    <w:name w:val="Light Grid Accent 3"/>
    <w:basedOn w:val="a3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3">
    <w:name w:val="Light Grid Accent 4"/>
    <w:basedOn w:val="a3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3">
    <w:name w:val="Light Grid Accent 5"/>
    <w:basedOn w:val="a3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3">
    <w:name w:val="Light Grid Accent 6"/>
    <w:basedOn w:val="a3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13">
    <w:name w:val="Medium Shading 1"/>
    <w:basedOn w:val="a3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Shading 1 Accent 1"/>
    <w:basedOn w:val="a3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">
    <w:name w:val="Medium Shading 1 Accent 2"/>
    <w:basedOn w:val="a3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">
    <w:name w:val="Medium Shading 1 Accent 3"/>
    <w:basedOn w:val="a3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">
    <w:name w:val="Medium Shading 1 Accent 4"/>
    <w:basedOn w:val="a3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">
    <w:name w:val="Medium Shading 1 Accent 5"/>
    <w:basedOn w:val="a3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">
    <w:name w:val="Medium Shading 1 Accent 6"/>
    <w:basedOn w:val="a3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Shading 2"/>
    <w:basedOn w:val="a3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000000" w:themeFill="text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2-1">
    <w:name w:val="Medium Shading 2 Accent 1"/>
    <w:basedOn w:val="a3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4F81BD" w:themeFill="accent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2-2">
    <w:name w:val="Medium Shading 2 Accent 2"/>
    <w:basedOn w:val="a3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C0504D" w:themeFill="accent2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2-3">
    <w:name w:val="Medium Shading 2 Accent 3"/>
    <w:basedOn w:val="a3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9BBB59" w:themeFill="accent3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2-4">
    <w:name w:val="Medium Shading 2 Accent 4"/>
    <w:basedOn w:val="a3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8064A2" w:themeFill="accent4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2-5">
    <w:name w:val="Medium Shading 2 Accent 5"/>
    <w:basedOn w:val="a3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4BACC6" w:themeFill="accent5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2-6">
    <w:name w:val="Medium Shading 2 Accent 6"/>
    <w:basedOn w:val="a3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F79646" w:themeFill="accent6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14">
    <w:name w:val="Medium List 1"/>
    <w:basedOn w:val="a3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c">
    <w:name w:val="Medium List 2"/>
    <w:basedOn w:val="a3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000000" w:themeColor="text1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000000" w:themeColor="text1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2-10">
    <w:name w:val="Medium List 2 Accent 1"/>
    <w:basedOn w:val="a3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4F81BD" w:themeColor="accent1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4F81BD" w:themeColor="accent1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2-20">
    <w:name w:val="Medium List 2 Accent 2"/>
    <w:basedOn w:val="a3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C0504D" w:themeColor="accent2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C0504D" w:themeColor="accent2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2-30">
    <w:name w:val="Medium List 2 Accent 3"/>
    <w:basedOn w:val="a3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9BBB59" w:themeColor="accent3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9BBB59" w:themeColor="accent3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2-40">
    <w:name w:val="Medium List 2 Accent 4"/>
    <w:basedOn w:val="a3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8064A2" w:themeColor="accent4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8064A2" w:themeColor="accent4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2-50">
    <w:name w:val="Medium List 2 Accent 5"/>
    <w:basedOn w:val="a3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4BACC6" w:themeColor="accent5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4BACC6" w:themeColor="accent5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2-60">
    <w:name w:val="Medium List 2 Accent 6"/>
    <w:basedOn w:val="a3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F79646" w:themeColor="accent6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F79646" w:themeColor="accent6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15">
    <w:name w:val="Medium Grid 1"/>
    <w:basedOn w:val="a3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d">
    <w:name w:val="Medium Grid 2"/>
    <w:basedOn w:val="a3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9">
    <w:name w:val="Medium Grid 3"/>
    <w:basedOn w:val="a3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d">
    <w:name w:val="Dark List"/>
    <w:basedOn w:val="a3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000000" w:themeFill="text1" w:themeFillShade="BF"/>
      </w:tcPr>
    </w:tblStylePr>
  </w:style>
  <w:style w:type="table" w:styleId="-14">
    <w:name w:val="Dark List Accent 1"/>
    <w:basedOn w:val="a3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365F91" w:themeFill="accent1" w:themeFillShade="BF"/>
      </w:tcPr>
    </w:tblStylePr>
  </w:style>
  <w:style w:type="table" w:styleId="-24">
    <w:name w:val="Dark List Accent 2"/>
    <w:basedOn w:val="a3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943634" w:themeFill="accent2" w:themeFillShade="BF"/>
      </w:tcPr>
    </w:tblStylePr>
  </w:style>
  <w:style w:type="table" w:styleId="-34">
    <w:name w:val="Dark List Accent 3"/>
    <w:basedOn w:val="a3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76923C" w:themeFill="accent3" w:themeFillShade="BF"/>
      </w:tcPr>
    </w:tblStylePr>
  </w:style>
  <w:style w:type="table" w:styleId="-44">
    <w:name w:val="Dark List Accent 4"/>
    <w:basedOn w:val="a3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5F497A" w:themeFill="accent4" w:themeFillShade="BF"/>
      </w:tcPr>
    </w:tblStylePr>
  </w:style>
  <w:style w:type="table" w:styleId="-54">
    <w:name w:val="Dark List Accent 5"/>
    <w:basedOn w:val="a3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31849B" w:themeFill="accent5" w:themeFillShade="BF"/>
      </w:tcPr>
    </w:tblStylePr>
  </w:style>
  <w:style w:type="table" w:styleId="-64">
    <w:name w:val="Dark List Accent 6"/>
    <w:basedOn w:val="a3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E36C0A" w:themeFill="accent6" w:themeFillShade="BF"/>
      </w:tcPr>
    </w:tblStylePr>
  </w:style>
  <w:style w:type="table" w:styleId="affe">
    <w:name w:val="Colorful Shading"/>
    <w:basedOn w:val="a3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C0504D" w:themeColor="accent2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5">
    <w:name w:val="Colorful Shading Accent 1"/>
    <w:basedOn w:val="a3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C0504D" w:themeColor="accent2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5">
    <w:name w:val="Colorful Shading Accent 2"/>
    <w:basedOn w:val="a3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C0504D" w:themeColor="accent2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5">
    <w:name w:val="Colorful Shading Accent 3"/>
    <w:basedOn w:val="a3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8064A2" w:themeColor="accent4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Shading Accent 4"/>
    <w:basedOn w:val="a3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9BBB59" w:themeColor="accent3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5">
    <w:name w:val="Colorful Shading Accent 5"/>
    <w:basedOn w:val="a3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F79646" w:themeColor="accent6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5">
    <w:name w:val="Colorful Shading Accent 6"/>
    <w:basedOn w:val="a3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4BACC6" w:themeColor="accent5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">
    <w:name w:val="Colorful List"/>
    <w:basedOn w:val="a3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6">
    <w:name w:val="Colorful List Accent 1"/>
    <w:basedOn w:val="a3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6">
    <w:name w:val="Colorful List Accent 2"/>
    <w:basedOn w:val="a3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6">
    <w:name w:val="Colorful List Accent 3"/>
    <w:basedOn w:val="a3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6">
    <w:name w:val="Colorful List Accent 4"/>
    <w:basedOn w:val="a3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6">
    <w:name w:val="Colorful List Accent 5"/>
    <w:basedOn w:val="a3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6">
    <w:name w:val="Colorful List Accent 6"/>
    <w:basedOn w:val="a3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f0">
    <w:name w:val="Colorful Grid"/>
    <w:basedOn w:val="a3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7">
    <w:name w:val="Colorful Grid Accent 1"/>
    <w:basedOn w:val="a3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7">
    <w:name w:val="Colorful Grid Accent 2"/>
    <w:basedOn w:val="a3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7">
    <w:name w:val="Colorful Grid Accent 3"/>
    <w:basedOn w:val="a3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7">
    <w:name w:val="Colorful Grid Accent 4"/>
    <w:basedOn w:val="a3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7">
    <w:name w:val="Colorful Grid Accent 5"/>
    <w:basedOn w:val="a3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7">
    <w:name w:val="Colorful Grid Accent 6"/>
    <w:basedOn w:val="a3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Liberation Sans"/>
        <a:cs typeface="Liberation Sans"/>
      </a:majorFont>
      <a:minorFont>
        <a:latin typeface="Cambria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1088</Words>
  <Characters>6205</Characters>
  <Application>Microsoft Office Word</Application>
  <DocSecurity>0</DocSecurity>
  <Lines>51</Lines>
  <Paragraphs>14</Paragraphs>
  <ScaleCrop>false</ScaleCrop>
  <Manager/>
  <Company/>
  <LinksUpToDate>false</LinksUpToDate>
  <CharactersWithSpaces>7279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Кудухова Алина Алановна</cp:lastModifiedBy>
  <cp:revision>2</cp:revision>
  <dcterms:created xsi:type="dcterms:W3CDTF">2026-08-13T06:29:00Z</dcterms:created>
  <dcterms:modified xsi:type="dcterms:W3CDTF">2026-08-13T06:29:00Z</dcterms:modified>
  <cp:category/>
</cp:coreProperties>
</file>